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84" w:rsidRDefault="00913084" w:rsidP="009130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084" w:rsidRDefault="00913084" w:rsidP="00D2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1E4" w:rsidRDefault="00486D0E" w:rsidP="00D2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64F">
        <w:rPr>
          <w:rFonts w:ascii="Times New Roman" w:hAnsi="Times New Roman" w:cs="Times New Roman"/>
          <w:sz w:val="24"/>
          <w:szCs w:val="24"/>
        </w:rPr>
        <w:t xml:space="preserve">Годовой отчет </w:t>
      </w:r>
      <w:r w:rsidR="00EB31E4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</w:t>
      </w:r>
      <w:r w:rsidRPr="007C364F">
        <w:rPr>
          <w:rFonts w:ascii="Times New Roman" w:hAnsi="Times New Roman" w:cs="Times New Roman"/>
          <w:sz w:val="24"/>
          <w:szCs w:val="24"/>
        </w:rPr>
        <w:t>«</w:t>
      </w:r>
      <w:r w:rsidR="005249E8">
        <w:rPr>
          <w:rFonts w:ascii="Times New Roman" w:hAnsi="Times New Roman" w:cs="Times New Roman"/>
          <w:sz w:val="24"/>
          <w:szCs w:val="24"/>
        </w:rPr>
        <w:t>ЖЭС г</w:t>
      </w:r>
      <w:proofErr w:type="gramStart"/>
      <w:r w:rsidR="005249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249E8">
        <w:rPr>
          <w:rFonts w:ascii="Times New Roman" w:hAnsi="Times New Roman" w:cs="Times New Roman"/>
          <w:sz w:val="24"/>
          <w:szCs w:val="24"/>
        </w:rPr>
        <w:t xml:space="preserve">олковыска» </w:t>
      </w:r>
      <w:r w:rsidRPr="007C364F">
        <w:rPr>
          <w:rFonts w:ascii="Times New Roman" w:hAnsi="Times New Roman" w:cs="Times New Roman"/>
          <w:sz w:val="24"/>
          <w:szCs w:val="24"/>
        </w:rPr>
        <w:t xml:space="preserve"> за 20</w:t>
      </w:r>
      <w:r w:rsidR="00BC29E4">
        <w:rPr>
          <w:rFonts w:ascii="Times New Roman" w:hAnsi="Times New Roman" w:cs="Times New Roman"/>
          <w:sz w:val="24"/>
          <w:szCs w:val="24"/>
        </w:rPr>
        <w:t>20</w:t>
      </w:r>
      <w:r w:rsidRPr="007C364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A49F7" w:rsidRPr="007C364F" w:rsidRDefault="00486D0E" w:rsidP="00D2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64F">
        <w:rPr>
          <w:rFonts w:ascii="Times New Roman" w:hAnsi="Times New Roman" w:cs="Times New Roman"/>
          <w:sz w:val="24"/>
          <w:szCs w:val="24"/>
        </w:rPr>
        <w:t>(УНП</w:t>
      </w:r>
      <w:r w:rsidR="005249E8">
        <w:rPr>
          <w:rFonts w:ascii="Times New Roman" w:hAnsi="Times New Roman" w:cs="Times New Roman"/>
          <w:sz w:val="24"/>
          <w:szCs w:val="24"/>
        </w:rPr>
        <w:t xml:space="preserve"> 500586760</w:t>
      </w:r>
      <w:r w:rsidRPr="007C364F">
        <w:rPr>
          <w:rFonts w:ascii="Times New Roman" w:hAnsi="Times New Roman" w:cs="Times New Roman"/>
          <w:sz w:val="24"/>
          <w:szCs w:val="24"/>
        </w:rPr>
        <w:t>)</w:t>
      </w:r>
    </w:p>
    <w:p w:rsidR="009C1107" w:rsidRPr="00913084" w:rsidRDefault="009C1107" w:rsidP="00D243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30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(пункты 4 - </w:t>
      </w:r>
      <w:hyperlink r:id="rId5" w:history="1">
        <w:r w:rsidRPr="00913084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10</w:t>
        </w:r>
      </w:hyperlink>
      <w:r w:rsidRPr="009130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hyperlink r:id="rId6" w:history="1">
        <w:r w:rsidRPr="00913084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13</w:t>
        </w:r>
      </w:hyperlink>
      <w:r w:rsidRPr="009130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hyperlink r:id="rId7" w:history="1">
        <w:r w:rsidRPr="00913084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14</w:t>
        </w:r>
      </w:hyperlink>
      <w:r w:rsidRPr="0091308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формы 1 «Информация об акционерном обществе и его деятельности»)</w:t>
      </w:r>
    </w:p>
    <w:tbl>
      <w:tblPr>
        <w:tblW w:w="9403" w:type="dxa"/>
        <w:tblLayout w:type="fixed"/>
        <w:tblLook w:val="04A0"/>
      </w:tblPr>
      <w:tblGrid>
        <w:gridCol w:w="8"/>
        <w:gridCol w:w="1681"/>
        <w:gridCol w:w="706"/>
        <w:gridCol w:w="1245"/>
        <w:gridCol w:w="1038"/>
        <w:gridCol w:w="257"/>
        <w:gridCol w:w="1019"/>
        <w:gridCol w:w="23"/>
        <w:gridCol w:w="98"/>
        <w:gridCol w:w="726"/>
        <w:gridCol w:w="712"/>
        <w:gridCol w:w="24"/>
        <w:gridCol w:w="7"/>
        <w:gridCol w:w="111"/>
        <w:gridCol w:w="1322"/>
        <w:gridCol w:w="237"/>
        <w:gridCol w:w="8"/>
        <w:gridCol w:w="138"/>
        <w:gridCol w:w="43"/>
      </w:tblGrid>
      <w:tr w:rsidR="000749E3" w:rsidRPr="00474115" w:rsidTr="00D22C2B">
        <w:trPr>
          <w:gridAfter w:val="9"/>
          <w:wAfter w:w="2602" w:type="dxa"/>
        </w:trPr>
        <w:tc>
          <w:tcPr>
            <w:tcW w:w="5954" w:type="dxa"/>
            <w:gridSpan w:val="7"/>
            <w:shd w:val="clear" w:color="auto" w:fill="auto"/>
            <w:vAlign w:val="center"/>
            <w:hideMark/>
          </w:tcPr>
          <w:p w:rsidR="00BA49F7" w:rsidRPr="00BA49F7" w:rsidRDefault="009C1107" w:rsidP="00D24332">
            <w:pPr>
              <w:spacing w:before="120"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06537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BA49F7" w:rsidRPr="00BA49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государства в уставном фонде эмитента (всего в %):</w:t>
            </w:r>
          </w:p>
        </w:tc>
        <w:tc>
          <w:tcPr>
            <w:tcW w:w="8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BA49F7" w:rsidP="0010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81E00" w:rsidRPr="00106537" w:rsidTr="00030ECB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07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07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07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515564" w:rsidRPr="00106537" w:rsidTr="007B5A95">
        <w:trPr>
          <w:gridAfter w:val="8"/>
          <w:wAfter w:w="1890" w:type="dxa"/>
          <w:trHeight w:val="264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республиканская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9F7" w:rsidRPr="00BA49F7" w:rsidRDefault="003A754B" w:rsidP="00074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9F7" w:rsidRPr="00BA49F7" w:rsidRDefault="003A754B" w:rsidP="00074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7BE3" w:rsidRPr="00106537" w:rsidTr="007B5A95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 всего: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5249E8" w:rsidP="008E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  <w:r w:rsidR="008E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5249E8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63,22</w:t>
            </w:r>
          </w:p>
        </w:tc>
      </w:tr>
      <w:tr w:rsidR="00097BE3" w:rsidRPr="00106537" w:rsidTr="00030ECB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5564" w:rsidRPr="00106537" w:rsidTr="007B5A95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3A754B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3A754B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564" w:rsidRPr="00106537" w:rsidTr="007B5A95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5249E8" w:rsidP="008E0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  <w:r w:rsidR="008E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5249E8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63,22</w:t>
            </w:r>
          </w:p>
        </w:tc>
      </w:tr>
      <w:tr w:rsidR="00515564" w:rsidRPr="00106537" w:rsidTr="007B5A95">
        <w:trPr>
          <w:gridAfter w:val="8"/>
          <w:wAfter w:w="1890" w:type="dxa"/>
        </w:trPr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9F7" w:rsidRPr="00BA49F7" w:rsidRDefault="00BA49F7" w:rsidP="00BA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3A754B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9F7" w:rsidRPr="00BA49F7" w:rsidRDefault="003A754B" w:rsidP="00B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4339" w:rsidRPr="00474115" w:rsidTr="00106537">
        <w:trPr>
          <w:gridAfter w:val="4"/>
          <w:wAfter w:w="426" w:type="dxa"/>
        </w:trPr>
        <w:tc>
          <w:tcPr>
            <w:tcW w:w="8977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4339" w:rsidRPr="00515564" w:rsidRDefault="009C1107" w:rsidP="008E07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5-6.</w:t>
            </w:r>
            <w:r w:rsidR="00106537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D4339"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дивидендах и акциях:</w:t>
            </w:r>
          </w:p>
        </w:tc>
      </w:tr>
      <w:tr w:rsidR="00E40100" w:rsidRPr="00106537" w:rsidTr="00030ECB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249E8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249E8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249E8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0,178048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0,191086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0,178048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0,191086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0100" w:rsidRPr="00106537" w:rsidTr="00030ECB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B34296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E40100" w:rsidRPr="00106537" w:rsidTr="00030ECB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E40100" w:rsidRPr="00106537" w:rsidTr="00030ECB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4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19.04.2020 по 31.05.2020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</w:tr>
      <w:tr w:rsidR="00E40100" w:rsidRPr="00106537" w:rsidTr="007B5A95">
        <w:trPr>
          <w:gridAfter w:val="2"/>
          <w:wAfter w:w="181" w:type="dxa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B34296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ECB" w:rsidRPr="00106537" w:rsidTr="00030ECB">
        <w:trPr>
          <w:gridBefore w:val="1"/>
          <w:gridAfter w:val="3"/>
          <w:wBefore w:w="8" w:type="dxa"/>
          <w:wAfter w:w="189" w:type="dxa"/>
        </w:trPr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Акции, поступившие в распоряжение общества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Акции, приобретенные в целях сокращения общего количества</w:t>
            </w:r>
          </w:p>
        </w:tc>
      </w:tr>
      <w:tr w:rsidR="00E40100" w:rsidRPr="00106537" w:rsidTr="00030ECB">
        <w:trPr>
          <w:gridBefore w:val="1"/>
          <w:gridAfter w:val="3"/>
          <w:wBefore w:w="8" w:type="dxa"/>
          <w:wAfter w:w="189" w:type="dxa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 акций на счет "депо" общества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</w:t>
            </w:r>
            <w:r w:rsidR="007B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</w:t>
            </w:r>
            <w:r w:rsidR="007B5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81E00" w:rsidRPr="00106537" w:rsidTr="007B5A95">
        <w:trPr>
          <w:gridBefore w:val="1"/>
          <w:gridAfter w:val="3"/>
          <w:wBefore w:w="8" w:type="dxa"/>
          <w:wAfter w:w="189" w:type="dxa"/>
          <w:trHeight w:val="26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249E8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564" w:rsidRPr="00515564" w:rsidRDefault="00515564" w:rsidP="005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564" w:rsidRPr="00515564" w:rsidRDefault="005249E8" w:rsidP="0051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1E00" w:rsidRPr="00181E00" w:rsidTr="00106537">
        <w:trPr>
          <w:gridAfter w:val="4"/>
          <w:wAfter w:w="426" w:type="dxa"/>
        </w:trPr>
        <w:tc>
          <w:tcPr>
            <w:tcW w:w="897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E00" w:rsidRPr="00181E00" w:rsidRDefault="009C1107" w:rsidP="008E07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106537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181E00"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Отдельные финансовые результаты деятельности открытого акционерного общества:</w:t>
            </w:r>
          </w:p>
        </w:tc>
      </w:tr>
      <w:tr w:rsidR="00E40100" w:rsidRPr="00106537" w:rsidTr="00106537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3966D7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продукции, товаров, работ,</w:t>
            </w:r>
            <w:r w:rsidR="00030ECB" w:rsidRPr="00106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</w:t>
            </w:r>
          </w:p>
        </w:tc>
      </w:tr>
      <w:tr w:rsidR="00097BE3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Себестоимость реализованной продукции, товаров, </w:t>
            </w: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работ, услуг, управленческие расходы; расходы на реализацию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</w:t>
            </w:r>
          </w:p>
        </w:tc>
      </w:tr>
      <w:tr w:rsidR="00E40100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40100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097BE3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</w:t>
            </w:r>
          </w:p>
        </w:tc>
      </w:tr>
      <w:tr w:rsidR="00097BE3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</w:tr>
      <w:tr w:rsidR="00097BE3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34296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40100" w:rsidRPr="00106537" w:rsidTr="007B5A95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7BE3" w:rsidRPr="00106537" w:rsidTr="00E42024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296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97BE3" w:rsidRPr="00106537" w:rsidTr="00E42024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4F64" w:rsidRPr="00106537" w:rsidTr="00E42024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6253E5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</w:t>
            </w:r>
          </w:p>
        </w:tc>
      </w:tr>
      <w:tr w:rsidR="00E42024" w:rsidRPr="00106537" w:rsidTr="00E42024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024" w:rsidRPr="00181E00" w:rsidRDefault="00E42024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2024" w:rsidRPr="00181E00" w:rsidRDefault="00E42024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42024" w:rsidRPr="00106537" w:rsidRDefault="00E42024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42024" w:rsidRPr="00106537" w:rsidRDefault="00E42024" w:rsidP="00181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F64" w:rsidRPr="00106537" w:rsidTr="00E42024">
        <w:trPr>
          <w:gridAfter w:val="3"/>
          <w:wAfter w:w="189" w:type="dxa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00" w:rsidRPr="00181E00" w:rsidRDefault="00E42024" w:rsidP="00181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</w:t>
            </w:r>
            <w:r w:rsidR="00181E00"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Среднесписочная численность работающих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E00" w:rsidRPr="00181E00" w:rsidRDefault="00181E00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E00" w:rsidRPr="00106537" w:rsidRDefault="00B34296" w:rsidP="00181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30ECB" w:rsidRPr="00474115" w:rsidTr="007937BE">
        <w:tc>
          <w:tcPr>
            <w:tcW w:w="9403" w:type="dxa"/>
            <w:gridSpan w:val="19"/>
            <w:shd w:val="clear" w:color="auto" w:fill="auto"/>
            <w:vAlign w:val="center"/>
            <w:hideMark/>
          </w:tcPr>
          <w:p w:rsidR="00181E00" w:rsidRPr="00181E00" w:rsidRDefault="009C1107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106537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181E00" w:rsidRPr="0018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продукции или виды деятельности, по которым получено двадцать и более процентов выручки от реализации товаров, продукции, работ, услуг:</w:t>
            </w:r>
            <w:r w:rsidR="008E0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E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строительно-монтажные работы 77,7%</w:t>
            </w:r>
          </w:p>
        </w:tc>
      </w:tr>
      <w:tr w:rsidR="00030ECB" w:rsidRPr="00474115" w:rsidTr="00030ECB">
        <w:tc>
          <w:tcPr>
            <w:tcW w:w="9403" w:type="dxa"/>
            <w:gridSpan w:val="19"/>
            <w:shd w:val="clear" w:color="auto" w:fill="auto"/>
            <w:vAlign w:val="center"/>
            <w:hideMark/>
          </w:tcPr>
          <w:p w:rsidR="003966D7" w:rsidRPr="003966D7" w:rsidRDefault="009C1107" w:rsidP="005249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06537" w:rsidRPr="00474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966D7" w:rsidRPr="0039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проведения годового общего собрания акционеров, на котором утверждался годовой бухгалтерский баланс за </w:t>
            </w:r>
            <w:r w:rsidR="00524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3966D7" w:rsidRPr="0039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год:</w:t>
            </w:r>
            <w:r w:rsidR="00C30B30" w:rsidRPr="00474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29.03.2021г.</w:t>
            </w:r>
          </w:p>
        </w:tc>
      </w:tr>
      <w:tr w:rsidR="003966D7" w:rsidRPr="003966D7" w:rsidTr="00106537">
        <w:tc>
          <w:tcPr>
            <w:tcW w:w="9403" w:type="dxa"/>
            <w:gridSpan w:val="19"/>
            <w:shd w:val="clear" w:color="000000" w:fill="FFFFFF"/>
            <w:vAlign w:val="center"/>
            <w:hideMark/>
          </w:tcPr>
          <w:p w:rsidR="003966D7" w:rsidRPr="003966D7" w:rsidRDefault="003966D7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подготовки аудиторского заключения по бухгалтерской (финансовой) отчетности:</w:t>
            </w:r>
            <w:r w:rsidR="003D4339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E04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19.03.2021</w:t>
            </w:r>
            <w:r w:rsidR="006E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3966D7" w:rsidRPr="003966D7" w:rsidTr="00106537">
        <w:tc>
          <w:tcPr>
            <w:tcW w:w="9403" w:type="dxa"/>
            <w:gridSpan w:val="19"/>
            <w:shd w:val="clear" w:color="000000" w:fill="FFFFFF"/>
            <w:vAlign w:val="center"/>
            <w:hideMark/>
          </w:tcPr>
          <w:p w:rsidR="003966D7" w:rsidRPr="003966D7" w:rsidRDefault="003966D7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</w:t>
            </w:r>
            <w:r w:rsid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</w:t>
            </w: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3D4339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46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46B9" w:rsidRPr="00E046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"Аудит и Право", 220040, Республика Беларусь, г</w:t>
            </w:r>
            <w:proofErr w:type="gramStart"/>
            <w:r w:rsidR="00E046B9" w:rsidRPr="00E046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="00E046B9" w:rsidRPr="00E046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инск, ул.Некрасова, 7, пом.503, свидетельство о государственной регистрации выдано решением Минского горисполкома от 20 августа 2013г., зарегистрировано в Едином государственном регистре юридических лиц и индивидуальных предпринимателей за №191200879</w:t>
            </w:r>
          </w:p>
        </w:tc>
      </w:tr>
      <w:tr w:rsidR="003966D7" w:rsidRPr="003966D7" w:rsidTr="00030ECB">
        <w:tc>
          <w:tcPr>
            <w:tcW w:w="9403" w:type="dxa"/>
            <w:gridSpan w:val="19"/>
            <w:shd w:val="clear" w:color="000000" w:fill="FFFFFF"/>
            <w:vAlign w:val="center"/>
            <w:hideMark/>
          </w:tcPr>
          <w:p w:rsidR="003966D7" w:rsidRPr="003966D7" w:rsidRDefault="003966D7" w:rsidP="008E04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Период, за который проводился аудит:</w:t>
            </w:r>
            <w:r w:rsidR="003D4339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E04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</w:t>
            </w:r>
            <w:r w:rsidR="00524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01.01.2020г.</w:t>
            </w:r>
            <w:r w:rsidR="008E04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</w:t>
            </w:r>
            <w:r w:rsidR="00524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31.12.2020г.</w:t>
            </w:r>
          </w:p>
        </w:tc>
      </w:tr>
      <w:tr w:rsidR="003966D7" w:rsidRPr="003966D7" w:rsidTr="00106537">
        <w:tc>
          <w:tcPr>
            <w:tcW w:w="9403" w:type="dxa"/>
            <w:gridSpan w:val="19"/>
            <w:shd w:val="clear" w:color="auto" w:fill="auto"/>
            <w:vAlign w:val="center"/>
            <w:hideMark/>
          </w:tcPr>
          <w:p w:rsidR="00B34238" w:rsidRPr="003966D7" w:rsidRDefault="003966D7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  <w:r w:rsidR="003D4339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966D7" w:rsidRPr="00E046B9" w:rsidRDefault="00B34238" w:rsidP="00E046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238">
              <w:rPr>
                <w:rFonts w:ascii="Times New Roman" w:hAnsi="Times New Roman" w:cs="Times New Roman"/>
                <w:sz w:val="20"/>
                <w:szCs w:val="20"/>
              </w:rPr>
              <w:t>По нашему мнению, за исключением возможного влияния на бухгалтерскую отчетность обстоятельств, изложенных в разделе в разделе "Основание для выражения аудиторского мнения с оговоркой": корректировок (при наличии таковых), которые могли бы оказаться необходимыми, если бы нами было проверено фактическое наличие запасов,  прилагаемая годовая бухгалтерская отчетность  ОАО "ЖЭС г</w:t>
            </w:r>
            <w:proofErr w:type="gramStart"/>
            <w:r w:rsidRPr="00B3423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4238">
              <w:rPr>
                <w:rFonts w:ascii="Times New Roman" w:hAnsi="Times New Roman" w:cs="Times New Roman"/>
                <w:sz w:val="20"/>
                <w:szCs w:val="20"/>
              </w:rPr>
              <w:t>олковыска" достоверно во всех существенных аспектах отражает финансовое положение ОАО "ЖЭС г.Волковыска" на 31 декабря 2020 года, финансовые результаты  деятельности и изменение ее финансового положения, в том числе движение денежных средств за год</w:t>
            </w:r>
            <w:proofErr w:type="gramStart"/>
            <w:r w:rsidRPr="00B3423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4238">
              <w:rPr>
                <w:rFonts w:ascii="Times New Roman" w:hAnsi="Times New Roman" w:cs="Times New Roman"/>
                <w:sz w:val="20"/>
                <w:szCs w:val="20"/>
              </w:rPr>
              <w:t xml:space="preserve"> закончившийся на указанную дату, в соответствии с законодательством Республики Беларусь.</w:t>
            </w:r>
          </w:p>
        </w:tc>
      </w:tr>
      <w:tr w:rsidR="003966D7" w:rsidRPr="003966D7" w:rsidTr="00106537">
        <w:tc>
          <w:tcPr>
            <w:tcW w:w="9403" w:type="dxa"/>
            <w:gridSpan w:val="19"/>
            <w:shd w:val="clear" w:color="auto" w:fill="auto"/>
            <w:vAlign w:val="center"/>
            <w:hideMark/>
          </w:tcPr>
          <w:p w:rsidR="003966D7" w:rsidRPr="00B34296" w:rsidRDefault="003966D7" w:rsidP="00B342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6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  <w:r w:rsidR="003D4339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A4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06.04.2021 Единый портал финансового рынка</w:t>
            </w:r>
          </w:p>
        </w:tc>
      </w:tr>
      <w:tr w:rsidR="00E40100" w:rsidRPr="00E40100" w:rsidTr="00106537">
        <w:trPr>
          <w:gridAfter w:val="1"/>
          <w:wAfter w:w="43" w:type="dxa"/>
        </w:trPr>
        <w:tc>
          <w:tcPr>
            <w:tcW w:w="9360" w:type="dxa"/>
            <w:gridSpan w:val="18"/>
            <w:shd w:val="clear" w:color="auto" w:fill="auto"/>
            <w:vAlign w:val="center"/>
            <w:hideMark/>
          </w:tcPr>
          <w:p w:rsidR="00E40100" w:rsidRPr="00E40100" w:rsidRDefault="00474115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11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E40100" w:rsidRPr="00E40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применении открытым акционерным обществом Свода правил корпоративного поведения:</w:t>
            </w:r>
            <w:r w:rsidR="002F23A0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34296" w:rsidRP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приняты к сведению для дальнейшего</w:t>
            </w:r>
            <w:r w:rsid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34296" w:rsidRP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использования в работе</w:t>
            </w:r>
          </w:p>
        </w:tc>
      </w:tr>
      <w:tr w:rsidR="00E40100" w:rsidRPr="00E40100" w:rsidTr="00030ECB">
        <w:trPr>
          <w:gridAfter w:val="1"/>
          <w:wAfter w:w="43" w:type="dxa"/>
        </w:trPr>
        <w:tc>
          <w:tcPr>
            <w:tcW w:w="9360" w:type="dxa"/>
            <w:gridSpan w:val="18"/>
            <w:shd w:val="clear" w:color="auto" w:fill="auto"/>
            <w:vAlign w:val="center"/>
            <w:hideMark/>
          </w:tcPr>
          <w:p w:rsidR="00E40100" w:rsidRPr="00B34296" w:rsidRDefault="00474115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C11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E40100" w:rsidRPr="00E401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официального сайта открытого акционерного общества в глобальной компьютерной сети Интернет:</w:t>
            </w:r>
            <w:r w:rsidR="002F23A0" w:rsidRPr="0047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jes</w:t>
            </w:r>
            <w:proofErr w:type="spellEnd"/>
            <w:r w:rsidR="00B34296" w:rsidRP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="00B34296" w:rsidRP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tut</w:t>
            </w:r>
            <w:r w:rsidR="00B34296" w:rsidRP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B34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by</w:t>
            </w:r>
          </w:p>
          <w:p w:rsidR="00E42024" w:rsidRDefault="00E42024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E071E" w:rsidRDefault="008E071E" w:rsidP="009C11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                                                                                                                </w:t>
            </w:r>
            <w:proofErr w:type="spellStart"/>
            <w:r w:rsidR="003A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Ю.В.Пстыга</w:t>
            </w:r>
            <w:proofErr w:type="spellEnd"/>
          </w:p>
          <w:p w:rsidR="008E071E" w:rsidRPr="00E40100" w:rsidRDefault="008E071E" w:rsidP="003A754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Главный бухгалтер                                                                                                 </w:t>
            </w:r>
            <w:proofErr w:type="spellStart"/>
            <w:r w:rsidR="003A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А.И.Харевич</w:t>
            </w:r>
            <w:proofErr w:type="spellEnd"/>
          </w:p>
        </w:tc>
      </w:tr>
    </w:tbl>
    <w:p w:rsidR="00BA49F7" w:rsidRPr="00106537" w:rsidRDefault="00BA49F7" w:rsidP="002F23A0">
      <w:pPr>
        <w:rPr>
          <w:rFonts w:ascii="Times New Roman" w:hAnsi="Times New Roman" w:cs="Times New Roman"/>
        </w:rPr>
      </w:pPr>
    </w:p>
    <w:sectPr w:rsidR="00BA49F7" w:rsidRPr="00106537" w:rsidSect="00030E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F7"/>
    <w:rsid w:val="00030ECB"/>
    <w:rsid w:val="00046649"/>
    <w:rsid w:val="000749E3"/>
    <w:rsid w:val="00097BE3"/>
    <w:rsid w:val="000D0104"/>
    <w:rsid w:val="00106537"/>
    <w:rsid w:val="0016373C"/>
    <w:rsid w:val="00181E00"/>
    <w:rsid w:val="00264F64"/>
    <w:rsid w:val="00272505"/>
    <w:rsid w:val="0027513F"/>
    <w:rsid w:val="002A14AF"/>
    <w:rsid w:val="002F23A0"/>
    <w:rsid w:val="002F48B8"/>
    <w:rsid w:val="003966D7"/>
    <w:rsid w:val="003A754B"/>
    <w:rsid w:val="003D4339"/>
    <w:rsid w:val="003E1F7F"/>
    <w:rsid w:val="00411726"/>
    <w:rsid w:val="00474115"/>
    <w:rsid w:val="00486D0E"/>
    <w:rsid w:val="00493AD4"/>
    <w:rsid w:val="004E5530"/>
    <w:rsid w:val="004F31ED"/>
    <w:rsid w:val="00515564"/>
    <w:rsid w:val="005249E8"/>
    <w:rsid w:val="005D2DAF"/>
    <w:rsid w:val="006253E5"/>
    <w:rsid w:val="006E77FB"/>
    <w:rsid w:val="00714E96"/>
    <w:rsid w:val="00740030"/>
    <w:rsid w:val="007937BE"/>
    <w:rsid w:val="007B5A95"/>
    <w:rsid w:val="007C364F"/>
    <w:rsid w:val="008C330F"/>
    <w:rsid w:val="008E047F"/>
    <w:rsid w:val="008E071E"/>
    <w:rsid w:val="00913084"/>
    <w:rsid w:val="009C1107"/>
    <w:rsid w:val="00A7757B"/>
    <w:rsid w:val="00AB19AE"/>
    <w:rsid w:val="00AB6E2D"/>
    <w:rsid w:val="00AC0BFB"/>
    <w:rsid w:val="00B34238"/>
    <w:rsid w:val="00B34296"/>
    <w:rsid w:val="00B366C5"/>
    <w:rsid w:val="00B446C3"/>
    <w:rsid w:val="00BA49F7"/>
    <w:rsid w:val="00BC29E4"/>
    <w:rsid w:val="00BC426F"/>
    <w:rsid w:val="00C30B30"/>
    <w:rsid w:val="00C463EB"/>
    <w:rsid w:val="00C53424"/>
    <w:rsid w:val="00D070D7"/>
    <w:rsid w:val="00D22C2B"/>
    <w:rsid w:val="00D24332"/>
    <w:rsid w:val="00E046B9"/>
    <w:rsid w:val="00E40100"/>
    <w:rsid w:val="00E42024"/>
    <w:rsid w:val="00EB31E4"/>
    <w:rsid w:val="00ED495F"/>
    <w:rsid w:val="00F43BF5"/>
    <w:rsid w:val="00F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8D648EFFEC067402D4FF74251AB32B3D7A8508B08DB3B77CEFD09E3A16AFF05C5F1E9023634677688F5CB357ZBM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8D648EFFEC067402D4FF74251AB32B3D7A8508B08DB3B77CEFD09E3A16AFF05C5F1E9023634677688F5CB356ZBM3M" TargetMode="External"/><Relationship Id="rId5" Type="http://schemas.openxmlformats.org/officeDocument/2006/relationships/hyperlink" Target="consultantplus://offline/ref=718D648EFFEC067402D4FF74251AB32B3D7A8508B08DB3B77CEFD09E3A16AFF05C5F1E9023634677688F5CB354ZBM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9804-DB2A-4AAE-9C45-420EEB5E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Чирук Игорь Александрович</dc:creator>
  <cp:lastModifiedBy>Экономист</cp:lastModifiedBy>
  <cp:revision>10</cp:revision>
  <cp:lastPrinted>2021-04-06T07:56:00Z</cp:lastPrinted>
  <dcterms:created xsi:type="dcterms:W3CDTF">2021-03-18T06:43:00Z</dcterms:created>
  <dcterms:modified xsi:type="dcterms:W3CDTF">2021-04-06T08:25:00Z</dcterms:modified>
</cp:coreProperties>
</file>